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B9" w:rsidRPr="007171CA" w:rsidRDefault="007171CA" w:rsidP="007171CA">
      <w:pPr>
        <w:jc w:val="right"/>
        <w:rPr>
          <w:rFonts w:ascii="Georgia" w:hAnsi="Georgia"/>
        </w:rPr>
      </w:pPr>
      <w:r w:rsidRPr="007171CA">
        <w:rPr>
          <w:rFonts w:ascii="Georgia" w:hAnsi="Georgia"/>
        </w:rPr>
        <w:t>February 2014</w:t>
      </w:r>
    </w:p>
    <w:p w:rsidR="00A37E00" w:rsidRDefault="00A37E00" w:rsidP="00A37E00">
      <w:pPr>
        <w:rPr>
          <w:b/>
          <w:bCs/>
        </w:rPr>
      </w:pPr>
    </w:p>
    <w:p w:rsidR="007171CA" w:rsidRDefault="007171CA" w:rsidP="007171CA">
      <w:pPr>
        <w:jc w:val="center"/>
        <w:rPr>
          <w:rFonts w:ascii="Georgia" w:hAnsi="Georgia"/>
          <w:b/>
          <w:bCs/>
        </w:rPr>
      </w:pPr>
    </w:p>
    <w:p w:rsidR="007171CA" w:rsidRDefault="00A37E00" w:rsidP="007171CA">
      <w:pPr>
        <w:jc w:val="center"/>
        <w:rPr>
          <w:rFonts w:ascii="Georgia" w:hAnsi="Georgia"/>
          <w:b/>
          <w:bCs/>
        </w:rPr>
      </w:pPr>
      <w:r w:rsidRPr="007171CA">
        <w:rPr>
          <w:rFonts w:ascii="Georgia" w:hAnsi="Georgia"/>
          <w:b/>
          <w:bCs/>
        </w:rPr>
        <w:t>PRESERVATION ASSISTANCE GRANTS FOR</w:t>
      </w:r>
      <w:r w:rsidR="007171CA">
        <w:rPr>
          <w:rFonts w:ascii="Georgia" w:hAnsi="Georgia"/>
          <w:b/>
          <w:bCs/>
        </w:rPr>
        <w:t xml:space="preserve"> </w:t>
      </w:r>
      <w:r w:rsidRPr="007171CA">
        <w:rPr>
          <w:rFonts w:ascii="Georgia" w:hAnsi="Georgia"/>
          <w:b/>
          <w:bCs/>
        </w:rPr>
        <w:t>SMALLER INSTITUTIONS</w:t>
      </w:r>
    </w:p>
    <w:p w:rsidR="007171CA" w:rsidRPr="007171CA" w:rsidRDefault="007171CA" w:rsidP="007171CA">
      <w:pPr>
        <w:jc w:val="center"/>
        <w:rPr>
          <w:rFonts w:ascii="Georgia" w:hAnsi="Georgia"/>
          <w:b/>
          <w:bCs/>
        </w:rPr>
      </w:pPr>
    </w:p>
    <w:p w:rsidR="00A37E00" w:rsidRPr="007171CA" w:rsidRDefault="00A37E00" w:rsidP="007171CA">
      <w:pPr>
        <w:jc w:val="center"/>
        <w:rPr>
          <w:rFonts w:ascii="Georgia" w:hAnsi="Georgia"/>
          <w:b/>
          <w:bCs/>
        </w:rPr>
      </w:pPr>
      <w:r w:rsidRPr="007171CA">
        <w:rPr>
          <w:rFonts w:ascii="Georgia" w:hAnsi="Georgia"/>
          <w:b/>
          <w:bCs/>
        </w:rPr>
        <w:t>GUIDELINES NOW AVAILABLE!</w:t>
      </w:r>
    </w:p>
    <w:p w:rsidR="00A37E00" w:rsidRPr="00A37E00" w:rsidRDefault="00A37E00" w:rsidP="00A37E00">
      <w:pPr>
        <w:rPr>
          <w:rFonts w:ascii="Georgia" w:hAnsi="Georgia"/>
        </w:rPr>
      </w:pPr>
    </w:p>
    <w:p w:rsidR="007171CA" w:rsidRPr="007171CA" w:rsidRDefault="007171CA" w:rsidP="007171CA">
      <w:pPr>
        <w:rPr>
          <w:rFonts w:ascii="Georgia" w:hAnsi="Georgia"/>
          <w:i/>
        </w:rPr>
      </w:pPr>
      <w:r w:rsidRPr="007171CA">
        <w:rPr>
          <w:rFonts w:ascii="Georgia" w:hAnsi="Georgia"/>
        </w:rPr>
        <w:t>The National Endowment for the Humanities’ Division of Preservation and Access has offered Preservation Assistance Grants for Smaller Institutions for more than a decade. These grants help small and mid-sized cultural heritage institutions such as libraries, museums, historical societies, archival repositories, town and county records offices, and colleges and universities improve their ability to preserve and care for their humanities collections.  Awards of up to $6,000 support preserv</w:t>
      </w:r>
      <w:bookmarkStart w:id="0" w:name="_GoBack"/>
      <w:bookmarkEnd w:id="0"/>
      <w:r w:rsidRPr="007171CA">
        <w:rPr>
          <w:rFonts w:ascii="Georgia" w:hAnsi="Georgia"/>
        </w:rPr>
        <w:t xml:space="preserve">ation related collection assessments, consultations, purchase of preservation supplies and equipment, training and workshops, and institutional and collaborative disaster and emergency planning.  Preservation Assistance Grants also support assessments of digital collections and education and training in standards and best practices for digital preservation, and the care and handling of collections during digitization.  </w:t>
      </w:r>
      <w:r w:rsidRPr="007171CA">
        <w:rPr>
          <w:rFonts w:ascii="Georgia" w:hAnsi="Georgia"/>
          <w:i/>
        </w:rPr>
        <w:t xml:space="preserve">NEH does not fund digitization or the development of digital programs in this grant category.  </w:t>
      </w:r>
    </w:p>
    <w:p w:rsidR="007171CA" w:rsidRDefault="007171CA" w:rsidP="00A37E00">
      <w:pPr>
        <w:rPr>
          <w:rFonts w:ascii="Georgia" w:hAnsi="Georgia"/>
        </w:rPr>
      </w:pPr>
    </w:p>
    <w:p w:rsidR="00A37E00" w:rsidRPr="00A37E00" w:rsidRDefault="00A37E00" w:rsidP="00A37E00">
      <w:pPr>
        <w:rPr>
          <w:rFonts w:ascii="Georgia" w:hAnsi="Georgia"/>
        </w:rPr>
      </w:pPr>
      <w:r w:rsidRPr="00A37E00">
        <w:rPr>
          <w:rFonts w:ascii="Georgia" w:hAnsi="Georgia"/>
        </w:rPr>
        <w:t>All applications to the NEH must be submitted through Grants.gov. See the application guidelines for details.</w:t>
      </w:r>
    </w:p>
    <w:p w:rsidR="00A37E00" w:rsidRPr="00A37E00" w:rsidRDefault="00A37E00" w:rsidP="00A37E00">
      <w:pPr>
        <w:rPr>
          <w:rFonts w:ascii="Georgia" w:hAnsi="Georgia"/>
        </w:rPr>
      </w:pPr>
    </w:p>
    <w:p w:rsidR="00A37E00" w:rsidRPr="00A37E00" w:rsidRDefault="00A37E00" w:rsidP="00A37E00">
      <w:pPr>
        <w:rPr>
          <w:rFonts w:ascii="Georgia" w:hAnsi="Georgia"/>
          <w:b/>
          <w:bCs/>
        </w:rPr>
      </w:pPr>
      <w:r w:rsidRPr="00A37E00">
        <w:rPr>
          <w:rFonts w:ascii="Georgia" w:hAnsi="Georgia"/>
        </w:rPr>
        <w:t xml:space="preserve">The 2014 guidelines for Preservation Assistance Grants for Smaller Institutions are available at </w:t>
      </w:r>
      <w:hyperlink r:id="rId7" w:history="1">
        <w:r w:rsidRPr="00A37E00">
          <w:rPr>
            <w:rStyle w:val="Hyperlink"/>
            <w:rFonts w:ascii="Georgia" w:hAnsi="Georgia"/>
          </w:rPr>
          <w:t>http://www.neh.gov/grants/guidelines/pag.html</w:t>
        </w:r>
      </w:hyperlink>
      <w:r w:rsidRPr="00A37E00">
        <w:rPr>
          <w:rFonts w:ascii="Georgia" w:hAnsi="Georgia"/>
        </w:rPr>
        <w:t xml:space="preserve">. You will also find sample project descriptions, sample narratives, and a list of frequently asked questions. The deadline for applications is </w:t>
      </w:r>
      <w:r w:rsidRPr="00A37E00">
        <w:rPr>
          <w:rFonts w:ascii="Georgia" w:hAnsi="Georgia"/>
          <w:b/>
          <w:bCs/>
        </w:rPr>
        <w:t>May 1, 2014.</w:t>
      </w:r>
    </w:p>
    <w:p w:rsidR="00A37E00" w:rsidRPr="00A37E00" w:rsidRDefault="00A37E00" w:rsidP="00A37E00">
      <w:pPr>
        <w:rPr>
          <w:rFonts w:ascii="Georgia" w:hAnsi="Georgia"/>
          <w:b/>
          <w:bCs/>
        </w:rPr>
      </w:pPr>
    </w:p>
    <w:p w:rsidR="00A37E00" w:rsidRDefault="00A37E00" w:rsidP="00A37E00">
      <w:pPr>
        <w:rPr>
          <w:rFonts w:ascii="Georgia" w:hAnsi="Georgia"/>
          <w:bCs/>
        </w:rPr>
      </w:pPr>
      <w:r w:rsidRPr="00A37E00">
        <w:rPr>
          <w:rFonts w:ascii="Georgia" w:hAnsi="Georgia"/>
          <w:bCs/>
        </w:rPr>
        <w:t xml:space="preserve">See our feature article and interactive map of PAG awards across the country, up on our Web site now: </w:t>
      </w:r>
      <w:hyperlink r:id="rId8" w:history="1">
        <w:r w:rsidRPr="003E08C1">
          <w:rPr>
            <w:rStyle w:val="Hyperlink"/>
            <w:rFonts w:ascii="Georgia" w:hAnsi="Georgia"/>
            <w:bCs/>
          </w:rPr>
          <w:t>http://www.neh.gov/divisions/preservation/preservation-and-access-grants-map</w:t>
        </w:r>
      </w:hyperlink>
    </w:p>
    <w:p w:rsidR="00A37E00" w:rsidRPr="00A37E00" w:rsidRDefault="00A37E00" w:rsidP="00A37E00">
      <w:pPr>
        <w:rPr>
          <w:rFonts w:ascii="Georgia" w:hAnsi="Georgia" w:cs="Arial"/>
          <w:bCs/>
        </w:rPr>
      </w:pPr>
    </w:p>
    <w:p w:rsidR="00A37E00" w:rsidRPr="00A37E00" w:rsidRDefault="00A37E00" w:rsidP="00A37E00">
      <w:pPr>
        <w:rPr>
          <w:rFonts w:ascii="Georgia" w:hAnsi="Georgia" w:cs="Arial"/>
        </w:rPr>
      </w:pPr>
      <w:r w:rsidRPr="00A37E00">
        <w:rPr>
          <w:rFonts w:ascii="Georgia" w:hAnsi="Georgia"/>
        </w:rPr>
        <w:t>Small and mid-sized institutions that have never received an NEH grant are encouraged to apply. This year, we have added a special encouragement for</w:t>
      </w:r>
      <w:r w:rsidRPr="00A37E00">
        <w:rPr>
          <w:rFonts w:ascii="Georgia" w:hAnsi="Georgia" w:cs="Helvetica"/>
          <w:lang w:val="en"/>
        </w:rPr>
        <w:t xml:space="preserve"> applications from presidentially designated institutions (Hispanic-serving institutions, Historically Black Colleges and Universities, and Tribal Colleges and Universities), and from Native American tribes with significant humanities collections.</w:t>
      </w:r>
    </w:p>
    <w:p w:rsidR="00A37E00" w:rsidRPr="00A37E00" w:rsidRDefault="00A37E00" w:rsidP="00A37E00">
      <w:pPr>
        <w:rPr>
          <w:rFonts w:ascii="Georgia" w:hAnsi="Georgia"/>
        </w:rPr>
      </w:pPr>
    </w:p>
    <w:p w:rsidR="00A37E00" w:rsidRPr="00A37E00" w:rsidRDefault="00A37E00" w:rsidP="00A37E00">
      <w:pPr>
        <w:rPr>
          <w:rFonts w:ascii="Georgia" w:hAnsi="Georgia" w:cs="Arial"/>
        </w:rPr>
      </w:pPr>
      <w:r w:rsidRPr="00A37E00">
        <w:rPr>
          <w:rFonts w:ascii="Georgia" w:hAnsi="Georgia"/>
        </w:rPr>
        <w:t xml:space="preserve">For more information, contact the staff of NEH's Division of Preservation and Access at 202-606-8570 and </w:t>
      </w:r>
      <w:hyperlink r:id="rId9" w:history="1">
        <w:r w:rsidRPr="00A37E00">
          <w:rPr>
            <w:rStyle w:val="Hyperlink"/>
            <w:rFonts w:ascii="Georgia" w:hAnsi="Georgia"/>
          </w:rPr>
          <w:t>preservation@neh.gov</w:t>
        </w:r>
      </w:hyperlink>
      <w:r w:rsidRPr="00A37E00">
        <w:rPr>
          <w:rFonts w:ascii="Georgia" w:hAnsi="Georgia"/>
        </w:rPr>
        <w:t xml:space="preserve"> </w:t>
      </w:r>
    </w:p>
    <w:p w:rsidR="00A37E00" w:rsidRPr="007D3422" w:rsidRDefault="00A37E00" w:rsidP="00A37E00"/>
    <w:p w:rsidR="00FC7CB9" w:rsidRDefault="007171CA" w:rsidP="00FC7CB9"/>
    <w:sectPr w:rsidR="00FC7CB9" w:rsidSect="00FC7CB9">
      <w:headerReference w:type="default" r:id="rId10"/>
      <w:footerReference w:type="default" r:id="rId11"/>
      <w:headerReference w:type="first" r:id="rId12"/>
      <w:footerReference w:type="first" r:id="rId13"/>
      <w:pgSz w:w="12240" w:h="15840" w:code="1"/>
      <w:pgMar w:top="1440" w:right="1440" w:bottom="1440" w:left="1800" w:header="7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00" w:rsidRDefault="00A37E00">
      <w:r>
        <w:separator/>
      </w:r>
    </w:p>
  </w:endnote>
  <w:endnote w:type="continuationSeparator" w:id="0">
    <w:p w:rsidR="00A37E00" w:rsidRDefault="00A3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3000000" w:usb1="00000000" w:usb2="00000000" w:usb3="00000000" w:csb0="00000001" w:csb1="00000000"/>
  </w:font>
  <w:font w:name="Avenir 55 Roman">
    <w:altName w:val="Times New Roman"/>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venir-Book">
    <w:altName w:val="Bk Avenir Book"/>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B9" w:rsidRPr="00BB55E5" w:rsidRDefault="007171CA" w:rsidP="00FC7CB9">
    <w:pPr>
      <w:pStyle w:val="Default"/>
      <w:ind w:left="-1512" w:right="-1440"/>
      <w:jc w:val="center"/>
      <w:rPr>
        <w:rFonts w:ascii="Trebuchet MS" w:hAnsi="Trebuchet MS"/>
        <w:sz w:val="17"/>
      </w:rPr>
    </w:pPr>
    <w:r w:rsidRPr="00BB55E5">
      <w:rPr>
        <w:rFonts w:ascii="Trebuchet MS" w:hAnsi="Trebuchet MS" w:cs="Avenir-Book"/>
        <w:sz w:val="17"/>
        <w:szCs w:val="16"/>
      </w:rPr>
      <w:t xml:space="preserve">1100 Pennsylvania Ave., N.W., Rm. 411, Washington, D.C. 20506    </w:t>
    </w:r>
    <w:r w:rsidRPr="00FC7CB9">
      <w:rPr>
        <w:rFonts w:ascii="Trebuchet MS" w:hAnsi="Trebuchet MS" w:cs="Avenir-Book"/>
        <w:b/>
        <w:color w:val="B2BB1E"/>
        <w:sz w:val="14"/>
        <w:szCs w:val="16"/>
      </w:rPr>
      <w:t>P</w:t>
    </w:r>
    <w:r w:rsidRPr="00BB55E5">
      <w:rPr>
        <w:rFonts w:ascii="Trebuchet MS" w:hAnsi="Trebuchet MS" w:cs="Avenir-Book"/>
        <w:sz w:val="17"/>
        <w:szCs w:val="16"/>
      </w:rPr>
      <w:t xml:space="preserve"> 202.6</w:t>
    </w:r>
    <w:r w:rsidRPr="00BB55E5">
      <w:rPr>
        <w:rFonts w:ascii="Trebuchet MS" w:hAnsi="Trebuchet MS" w:cs="Avenir-Book"/>
        <w:sz w:val="17"/>
        <w:szCs w:val="16"/>
      </w:rPr>
      <w:t xml:space="preserve">06.8570    </w:t>
    </w:r>
    <w:r w:rsidRPr="00FC7CB9">
      <w:rPr>
        <w:rFonts w:ascii="Trebuchet MS" w:hAnsi="Trebuchet MS" w:cs="Avenir-Book"/>
        <w:b/>
        <w:color w:val="B2BB1E"/>
        <w:sz w:val="14"/>
        <w:szCs w:val="16"/>
      </w:rPr>
      <w:t>F</w:t>
    </w:r>
    <w:r w:rsidRPr="00BB55E5">
      <w:rPr>
        <w:rFonts w:ascii="Trebuchet MS" w:hAnsi="Trebuchet MS" w:cs="Avenir-Book"/>
        <w:sz w:val="17"/>
        <w:szCs w:val="16"/>
      </w:rPr>
      <w:t xml:space="preserve"> 202.606.8639   </w:t>
    </w:r>
    <w:r w:rsidRPr="00FC7CB9">
      <w:rPr>
        <w:rFonts w:ascii="Trebuchet MS" w:hAnsi="Trebuchet MS" w:cs="Avenir-Book"/>
        <w:b/>
        <w:color w:val="B2BB1E"/>
        <w:sz w:val="14"/>
        <w:szCs w:val="16"/>
      </w:rPr>
      <w:t>E</w:t>
    </w:r>
    <w:r w:rsidRPr="00BB55E5">
      <w:rPr>
        <w:rFonts w:ascii="Trebuchet MS" w:hAnsi="Trebuchet MS" w:cs="Avenir-Book"/>
        <w:sz w:val="17"/>
        <w:szCs w:val="16"/>
      </w:rPr>
      <w:t xml:space="preserve"> preservation@neh.gov    </w:t>
    </w:r>
    <w:r w:rsidRPr="00FC7CB9">
      <w:rPr>
        <w:rFonts w:ascii="Trebuchet MS" w:hAnsi="Trebuchet MS" w:cs="Avenir-Book"/>
        <w:b/>
        <w:color w:val="B2BB1E"/>
        <w:sz w:val="17"/>
        <w:szCs w:val="16"/>
      </w:rPr>
      <w:t>www.neh.gov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B9" w:rsidRPr="00BB55E5" w:rsidRDefault="007171CA" w:rsidP="00FC7CB9">
    <w:pPr>
      <w:pStyle w:val="Default"/>
      <w:ind w:left="-1512" w:right="-1440"/>
      <w:jc w:val="center"/>
      <w:rPr>
        <w:rFonts w:ascii="Trebuchet MS" w:hAnsi="Trebuchet MS"/>
        <w:sz w:val="17"/>
      </w:rPr>
    </w:pPr>
    <w:r w:rsidRPr="00BB55E5">
      <w:rPr>
        <w:rFonts w:ascii="Trebuchet MS" w:hAnsi="Trebuchet MS" w:cs="Avenir-Book"/>
        <w:sz w:val="17"/>
        <w:szCs w:val="16"/>
      </w:rPr>
      <w:t xml:space="preserve">1100 Pennsylvania Ave., N.W., Rm. 411, Washington, D.C. 20506    </w:t>
    </w:r>
    <w:r w:rsidRPr="00FC7CB9">
      <w:rPr>
        <w:rFonts w:ascii="Trebuchet MS" w:hAnsi="Trebuchet MS" w:cs="Avenir-Book"/>
        <w:b/>
        <w:color w:val="B2BB1E"/>
        <w:sz w:val="14"/>
        <w:szCs w:val="16"/>
      </w:rPr>
      <w:t>P</w:t>
    </w:r>
    <w:r w:rsidRPr="00BB55E5">
      <w:rPr>
        <w:rFonts w:ascii="Trebuchet MS" w:hAnsi="Trebuchet MS" w:cs="Avenir-Book"/>
        <w:sz w:val="17"/>
        <w:szCs w:val="16"/>
      </w:rPr>
      <w:t xml:space="preserve"> 202.606.8570   </w:t>
    </w:r>
    <w:r w:rsidRPr="00BB55E5">
      <w:rPr>
        <w:rFonts w:ascii="Trebuchet MS" w:hAnsi="Trebuchet MS" w:cs="Avenir-Book"/>
        <w:sz w:val="14"/>
        <w:szCs w:val="16"/>
      </w:rPr>
      <w:t xml:space="preserve"> </w:t>
    </w:r>
    <w:r w:rsidRPr="00FC7CB9">
      <w:rPr>
        <w:rFonts w:ascii="Trebuchet MS" w:hAnsi="Trebuchet MS" w:cs="Avenir-Book"/>
        <w:b/>
        <w:color w:val="B2BB1E"/>
        <w:sz w:val="14"/>
        <w:szCs w:val="16"/>
      </w:rPr>
      <w:t>F</w:t>
    </w:r>
    <w:r w:rsidRPr="00BB55E5">
      <w:rPr>
        <w:rFonts w:ascii="Trebuchet MS" w:hAnsi="Trebuchet MS" w:cs="Avenir-Book"/>
        <w:sz w:val="17"/>
        <w:szCs w:val="16"/>
      </w:rPr>
      <w:t xml:space="preserve"> 202.606.8639   </w:t>
    </w:r>
    <w:r w:rsidRPr="00FC7CB9">
      <w:rPr>
        <w:rFonts w:ascii="Trebuchet MS" w:hAnsi="Trebuchet MS" w:cs="Avenir-Book"/>
        <w:b/>
        <w:color w:val="B2BB1E"/>
        <w:sz w:val="14"/>
        <w:szCs w:val="16"/>
      </w:rPr>
      <w:t>E</w:t>
    </w:r>
    <w:r w:rsidRPr="00BB55E5">
      <w:rPr>
        <w:rFonts w:ascii="Trebuchet MS" w:hAnsi="Trebuchet MS" w:cs="Avenir-Book"/>
        <w:sz w:val="17"/>
        <w:szCs w:val="16"/>
      </w:rPr>
      <w:t xml:space="preserve"> preservation@neh.gov    </w:t>
    </w:r>
    <w:r w:rsidRPr="00FC7CB9">
      <w:rPr>
        <w:rFonts w:ascii="Trebuchet MS" w:hAnsi="Trebuchet MS" w:cs="Avenir-Book"/>
        <w:b/>
        <w:color w:val="B2BB1E"/>
        <w:sz w:val="17"/>
        <w:szCs w:val="16"/>
      </w:rPr>
      <w:t>www.neh.gov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00" w:rsidRDefault="00A37E00">
      <w:r>
        <w:separator/>
      </w:r>
    </w:p>
  </w:footnote>
  <w:footnote w:type="continuationSeparator" w:id="0">
    <w:p w:rsidR="00A37E00" w:rsidRDefault="00A37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B9" w:rsidRDefault="007171CA" w:rsidP="00FC7CB9">
    <w:pPr>
      <w:pStyle w:val="Header"/>
      <w:ind w:right="-18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B9" w:rsidRDefault="00A37E00" w:rsidP="00A37E00">
    <w:pPr>
      <w:pStyle w:val="Header"/>
      <w:spacing w:before="1440"/>
    </w:pPr>
    <w:r>
      <w:rPr>
        <w:noProof/>
        <w:szCs w:val="20"/>
      </w:rPr>
      <w:drawing>
        <wp:anchor distT="0" distB="0" distL="114300" distR="114300" simplePos="0" relativeHeight="251657728" behindDoc="1" locked="0" layoutInCell="1" allowOverlap="1">
          <wp:simplePos x="0" y="0"/>
          <wp:positionH relativeFrom="column">
            <wp:posOffset>-1282065</wp:posOffset>
          </wp:positionH>
          <wp:positionV relativeFrom="paragraph">
            <wp:posOffset>-457200</wp:posOffset>
          </wp:positionV>
          <wp:extent cx="4043045" cy="1478915"/>
          <wp:effectExtent l="0" t="0" r="0" b="6985"/>
          <wp:wrapNone/>
          <wp:docPr id="7" name="Picture 7" descr="NEH_Preserve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H_PreserveA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3045" cy="1478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00"/>
    <w:rsid w:val="007171CA"/>
    <w:rsid w:val="00A3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00"/>
    <w:rPr>
      <w:rFonts w:ascii="Calibri" w:eastAsia="Calibri" w:hAnsi="Calibri"/>
      <w:sz w:val="22"/>
      <w:szCs w:val="22"/>
    </w:rPr>
  </w:style>
  <w:style w:type="paragraph" w:styleId="Heading1">
    <w:name w:val="heading 1"/>
    <w:basedOn w:val="Normal"/>
    <w:next w:val="Normal"/>
    <w:qFormat/>
    <w:rsid w:val="00B42FBA"/>
    <w:pPr>
      <w:keepNext/>
      <w:outlineLvl w:val="0"/>
    </w:pPr>
    <w:rPr>
      <w:rFonts w:ascii="Courier" w:hAnsi="Courier"/>
      <w:sz w:val="21"/>
      <w:szCs w:val="20"/>
    </w:rPr>
  </w:style>
  <w:style w:type="paragraph" w:styleId="Heading2">
    <w:name w:val="heading 2"/>
    <w:basedOn w:val="Normal"/>
    <w:next w:val="Normal"/>
    <w:qFormat/>
    <w:rsid w:val="00542B9E"/>
    <w:pPr>
      <w:keepNext/>
      <w:spacing w:before="240" w:after="60"/>
      <w:outlineLvl w:val="1"/>
    </w:pPr>
    <w:rPr>
      <w:rFonts w:ascii="Arial" w:hAnsi="Arial"/>
      <w:b/>
      <w:i/>
      <w:sz w:val="28"/>
      <w:szCs w:val="28"/>
    </w:rPr>
  </w:style>
  <w:style w:type="paragraph" w:styleId="Heading3">
    <w:name w:val="heading 3"/>
    <w:basedOn w:val="Normal"/>
    <w:next w:val="Normal"/>
    <w:qFormat/>
    <w:rsid w:val="00542B9E"/>
    <w:pPr>
      <w:keepNext/>
      <w:spacing w:before="240" w:after="60"/>
      <w:outlineLvl w:val="2"/>
    </w:pPr>
    <w:rPr>
      <w:rFonts w:ascii="Arial" w:hAnsi="Arial"/>
      <w:b/>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link w:val="DocumentMapChar"/>
    <w:uiPriority w:val="99"/>
    <w:semiHidden/>
    <w:unhideWhenUsed/>
    <w:rsid w:val="00A10A0E"/>
    <w:rPr>
      <w:rFonts w:ascii="Lucida Grande" w:hAnsi="Lucida Grande"/>
      <w:sz w:val="24"/>
      <w:szCs w:val="24"/>
    </w:rPr>
  </w:style>
  <w:style w:type="character" w:customStyle="1" w:styleId="DocumentMapChar">
    <w:name w:val="Document Map Char"/>
    <w:link w:val="DocumentMap"/>
    <w:uiPriority w:val="99"/>
    <w:semiHidden/>
    <w:rsid w:val="00A10A0E"/>
    <w:rPr>
      <w:rFonts w:ascii="Lucida Grande" w:eastAsia="Calibri" w:hAnsi="Lucida Grande"/>
      <w:sz w:val="24"/>
      <w:szCs w:val="24"/>
    </w:rPr>
  </w:style>
  <w:style w:type="character" w:styleId="Hyperlink">
    <w:name w:val="Hyperlink"/>
    <w:basedOn w:val="DefaultParagraphFont"/>
    <w:uiPriority w:val="99"/>
    <w:rsid w:val="00A057AA"/>
    <w:rPr>
      <w:color w:val="0000FF"/>
      <w:u w:val="single"/>
    </w:rPr>
  </w:style>
  <w:style w:type="paragraph" w:styleId="Header">
    <w:name w:val="header"/>
    <w:basedOn w:val="Normal"/>
    <w:rsid w:val="00A4449F"/>
    <w:pPr>
      <w:tabs>
        <w:tab w:val="center" w:pos="4320"/>
        <w:tab w:val="right" w:pos="8640"/>
      </w:tabs>
    </w:pPr>
    <w:rPr>
      <w:rFonts w:ascii="Georgia" w:hAnsi="Georgia"/>
      <w:sz w:val="21"/>
      <w:szCs w:val="21"/>
    </w:rPr>
  </w:style>
  <w:style w:type="paragraph" w:styleId="Footer">
    <w:name w:val="footer"/>
    <w:basedOn w:val="Normal"/>
    <w:link w:val="FooterChar"/>
    <w:uiPriority w:val="99"/>
    <w:rsid w:val="00A4449F"/>
    <w:pPr>
      <w:tabs>
        <w:tab w:val="center" w:pos="4320"/>
        <w:tab w:val="right" w:pos="8640"/>
      </w:tabs>
    </w:pPr>
    <w:rPr>
      <w:rFonts w:ascii="Times New Roman" w:eastAsia="Times New Roman" w:hAnsi="Times New Roman"/>
      <w:sz w:val="24"/>
      <w:szCs w:val="24"/>
      <w:lang w:val="x-none" w:eastAsia="x-none"/>
    </w:rPr>
  </w:style>
  <w:style w:type="paragraph" w:styleId="BodyText">
    <w:name w:val="Body Text"/>
    <w:basedOn w:val="Normal"/>
    <w:rsid w:val="00B42FBA"/>
    <w:rPr>
      <w:rFonts w:ascii="Georgia" w:hAnsi="Georgia"/>
      <w:sz w:val="21"/>
      <w:szCs w:val="20"/>
    </w:rPr>
  </w:style>
  <w:style w:type="character" w:customStyle="1" w:styleId="FooterChar">
    <w:name w:val="Footer Char"/>
    <w:link w:val="Footer"/>
    <w:uiPriority w:val="99"/>
    <w:rsid w:val="0045428D"/>
    <w:rPr>
      <w:sz w:val="24"/>
      <w:szCs w:val="24"/>
    </w:rPr>
  </w:style>
  <w:style w:type="paragraph" w:styleId="BalloonText">
    <w:name w:val="Balloon Text"/>
    <w:basedOn w:val="Normal"/>
    <w:link w:val="BalloonTextChar"/>
    <w:uiPriority w:val="99"/>
    <w:semiHidden/>
    <w:unhideWhenUsed/>
    <w:rsid w:val="0045428D"/>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45428D"/>
    <w:rPr>
      <w:rFonts w:ascii="Tahoma" w:hAnsi="Tahoma" w:cs="Tahoma"/>
      <w:sz w:val="16"/>
      <w:szCs w:val="16"/>
    </w:rPr>
  </w:style>
  <w:style w:type="paragraph" w:customStyle="1" w:styleId="address">
    <w:name w:val="address"/>
    <w:basedOn w:val="Normal"/>
    <w:rsid w:val="00542B9E"/>
    <w:pPr>
      <w:widowControl w:val="0"/>
      <w:tabs>
        <w:tab w:val="left" w:pos="4140"/>
      </w:tabs>
      <w:autoSpaceDE w:val="0"/>
      <w:autoSpaceDN w:val="0"/>
      <w:adjustRightInd w:val="0"/>
      <w:ind w:left="1350" w:right="144"/>
    </w:pPr>
    <w:rPr>
      <w:rFonts w:ascii="Georgia" w:hAnsi="Georgia" w:cs="Monaco"/>
      <w:color w:val="000000"/>
      <w:sz w:val="21"/>
      <w:lang w:bidi="en-US"/>
    </w:rPr>
  </w:style>
  <w:style w:type="paragraph" w:customStyle="1" w:styleId="Default">
    <w:name w:val="Default"/>
    <w:rsid w:val="00BB55E5"/>
    <w:pPr>
      <w:widowControl w:val="0"/>
      <w:autoSpaceDE w:val="0"/>
      <w:autoSpaceDN w:val="0"/>
      <w:adjustRightInd w:val="0"/>
    </w:pPr>
    <w:rPr>
      <w:rFonts w:ascii="Avenir 55 Roman" w:hAnsi="Avenir 55 Roman" w:cs="Avenir 55 Roman"/>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00"/>
    <w:rPr>
      <w:rFonts w:ascii="Calibri" w:eastAsia="Calibri" w:hAnsi="Calibri"/>
      <w:sz w:val="22"/>
      <w:szCs w:val="22"/>
    </w:rPr>
  </w:style>
  <w:style w:type="paragraph" w:styleId="Heading1">
    <w:name w:val="heading 1"/>
    <w:basedOn w:val="Normal"/>
    <w:next w:val="Normal"/>
    <w:qFormat/>
    <w:rsid w:val="00B42FBA"/>
    <w:pPr>
      <w:keepNext/>
      <w:outlineLvl w:val="0"/>
    </w:pPr>
    <w:rPr>
      <w:rFonts w:ascii="Courier" w:hAnsi="Courier"/>
      <w:sz w:val="21"/>
      <w:szCs w:val="20"/>
    </w:rPr>
  </w:style>
  <w:style w:type="paragraph" w:styleId="Heading2">
    <w:name w:val="heading 2"/>
    <w:basedOn w:val="Normal"/>
    <w:next w:val="Normal"/>
    <w:qFormat/>
    <w:rsid w:val="00542B9E"/>
    <w:pPr>
      <w:keepNext/>
      <w:spacing w:before="240" w:after="60"/>
      <w:outlineLvl w:val="1"/>
    </w:pPr>
    <w:rPr>
      <w:rFonts w:ascii="Arial" w:hAnsi="Arial"/>
      <w:b/>
      <w:i/>
      <w:sz w:val="28"/>
      <w:szCs w:val="28"/>
    </w:rPr>
  </w:style>
  <w:style w:type="paragraph" w:styleId="Heading3">
    <w:name w:val="heading 3"/>
    <w:basedOn w:val="Normal"/>
    <w:next w:val="Normal"/>
    <w:qFormat/>
    <w:rsid w:val="00542B9E"/>
    <w:pPr>
      <w:keepNext/>
      <w:spacing w:before="240" w:after="60"/>
      <w:outlineLvl w:val="2"/>
    </w:pPr>
    <w:rPr>
      <w:rFonts w:ascii="Arial" w:hAnsi="Arial"/>
      <w:b/>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link w:val="DocumentMapChar"/>
    <w:uiPriority w:val="99"/>
    <w:semiHidden/>
    <w:unhideWhenUsed/>
    <w:rsid w:val="00A10A0E"/>
    <w:rPr>
      <w:rFonts w:ascii="Lucida Grande" w:hAnsi="Lucida Grande"/>
      <w:sz w:val="24"/>
      <w:szCs w:val="24"/>
    </w:rPr>
  </w:style>
  <w:style w:type="character" w:customStyle="1" w:styleId="DocumentMapChar">
    <w:name w:val="Document Map Char"/>
    <w:link w:val="DocumentMap"/>
    <w:uiPriority w:val="99"/>
    <w:semiHidden/>
    <w:rsid w:val="00A10A0E"/>
    <w:rPr>
      <w:rFonts w:ascii="Lucida Grande" w:eastAsia="Calibri" w:hAnsi="Lucida Grande"/>
      <w:sz w:val="24"/>
      <w:szCs w:val="24"/>
    </w:rPr>
  </w:style>
  <w:style w:type="character" w:styleId="Hyperlink">
    <w:name w:val="Hyperlink"/>
    <w:basedOn w:val="DefaultParagraphFont"/>
    <w:uiPriority w:val="99"/>
    <w:rsid w:val="00A057AA"/>
    <w:rPr>
      <w:color w:val="0000FF"/>
      <w:u w:val="single"/>
    </w:rPr>
  </w:style>
  <w:style w:type="paragraph" w:styleId="Header">
    <w:name w:val="header"/>
    <w:basedOn w:val="Normal"/>
    <w:rsid w:val="00A4449F"/>
    <w:pPr>
      <w:tabs>
        <w:tab w:val="center" w:pos="4320"/>
        <w:tab w:val="right" w:pos="8640"/>
      </w:tabs>
    </w:pPr>
    <w:rPr>
      <w:rFonts w:ascii="Georgia" w:hAnsi="Georgia"/>
      <w:sz w:val="21"/>
      <w:szCs w:val="21"/>
    </w:rPr>
  </w:style>
  <w:style w:type="paragraph" w:styleId="Footer">
    <w:name w:val="footer"/>
    <w:basedOn w:val="Normal"/>
    <w:link w:val="FooterChar"/>
    <w:uiPriority w:val="99"/>
    <w:rsid w:val="00A4449F"/>
    <w:pPr>
      <w:tabs>
        <w:tab w:val="center" w:pos="4320"/>
        <w:tab w:val="right" w:pos="8640"/>
      </w:tabs>
    </w:pPr>
    <w:rPr>
      <w:rFonts w:ascii="Times New Roman" w:eastAsia="Times New Roman" w:hAnsi="Times New Roman"/>
      <w:sz w:val="24"/>
      <w:szCs w:val="24"/>
      <w:lang w:val="x-none" w:eastAsia="x-none"/>
    </w:rPr>
  </w:style>
  <w:style w:type="paragraph" w:styleId="BodyText">
    <w:name w:val="Body Text"/>
    <w:basedOn w:val="Normal"/>
    <w:rsid w:val="00B42FBA"/>
    <w:rPr>
      <w:rFonts w:ascii="Georgia" w:hAnsi="Georgia"/>
      <w:sz w:val="21"/>
      <w:szCs w:val="20"/>
    </w:rPr>
  </w:style>
  <w:style w:type="character" w:customStyle="1" w:styleId="FooterChar">
    <w:name w:val="Footer Char"/>
    <w:link w:val="Footer"/>
    <w:uiPriority w:val="99"/>
    <w:rsid w:val="0045428D"/>
    <w:rPr>
      <w:sz w:val="24"/>
      <w:szCs w:val="24"/>
    </w:rPr>
  </w:style>
  <w:style w:type="paragraph" w:styleId="BalloonText">
    <w:name w:val="Balloon Text"/>
    <w:basedOn w:val="Normal"/>
    <w:link w:val="BalloonTextChar"/>
    <w:uiPriority w:val="99"/>
    <w:semiHidden/>
    <w:unhideWhenUsed/>
    <w:rsid w:val="0045428D"/>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45428D"/>
    <w:rPr>
      <w:rFonts w:ascii="Tahoma" w:hAnsi="Tahoma" w:cs="Tahoma"/>
      <w:sz w:val="16"/>
      <w:szCs w:val="16"/>
    </w:rPr>
  </w:style>
  <w:style w:type="paragraph" w:customStyle="1" w:styleId="address">
    <w:name w:val="address"/>
    <w:basedOn w:val="Normal"/>
    <w:rsid w:val="00542B9E"/>
    <w:pPr>
      <w:widowControl w:val="0"/>
      <w:tabs>
        <w:tab w:val="left" w:pos="4140"/>
      </w:tabs>
      <w:autoSpaceDE w:val="0"/>
      <w:autoSpaceDN w:val="0"/>
      <w:adjustRightInd w:val="0"/>
      <w:ind w:left="1350" w:right="144"/>
    </w:pPr>
    <w:rPr>
      <w:rFonts w:ascii="Georgia" w:hAnsi="Georgia" w:cs="Monaco"/>
      <w:color w:val="000000"/>
      <w:sz w:val="21"/>
      <w:lang w:bidi="en-US"/>
    </w:rPr>
  </w:style>
  <w:style w:type="paragraph" w:customStyle="1" w:styleId="Default">
    <w:name w:val="Default"/>
    <w:rsid w:val="00BB55E5"/>
    <w:pPr>
      <w:widowControl w:val="0"/>
      <w:autoSpaceDE w:val="0"/>
      <w:autoSpaceDN w:val="0"/>
      <w:adjustRightInd w:val="0"/>
    </w:pPr>
    <w:rPr>
      <w:rFonts w:ascii="Avenir 55 Roman" w:hAnsi="Avenir 55 Roman" w:cs="Avenir 55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eh.gov/divisions/preservation/preservation-and-access-grants-ma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h.gov/grants/guidelines/pag.html"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ervation@neh.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hpdc\Library\UserLib\MSOfficeXP\Templates\Color%20Letterhead\Preservation%20Acc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Preservation Access.dot</Template>
  <TotalTime>5</TotalTime>
  <Pages>1</Pages>
  <Words>286</Words>
  <Characters>2142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NEH_Letterhead_B&amp;W_Word.indd</vt:lpstr>
    </vt:vector>
  </TitlesOfParts>
  <Company>NEH</Company>
  <LinksUpToDate>false</LinksUpToDate>
  <CharactersWithSpaces>2424</CharactersWithSpaces>
  <SharedDoc>false</SharedDoc>
  <HLinks>
    <vt:vector size="6" baseType="variant">
      <vt:variant>
        <vt:i4>7405657</vt:i4>
      </vt:variant>
      <vt:variant>
        <vt:i4>-1</vt:i4>
      </vt:variant>
      <vt:variant>
        <vt:i4>2055</vt:i4>
      </vt:variant>
      <vt:variant>
        <vt:i4>1</vt:i4>
      </vt:variant>
      <vt:variant>
        <vt:lpwstr>NEH_PreserveAccess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NEH_Letterhead_B&amp;W_Word.indd</dc:title>
  <dc:creator>Downs, Mary</dc:creator>
  <cp:lastModifiedBy>Downs, Mary</cp:lastModifiedBy>
  <cp:revision>2</cp:revision>
  <cp:lastPrinted>2014-02-25T18:01:00Z</cp:lastPrinted>
  <dcterms:created xsi:type="dcterms:W3CDTF">2014-02-25T17:58:00Z</dcterms:created>
  <dcterms:modified xsi:type="dcterms:W3CDTF">2014-02-25T18:03:00Z</dcterms:modified>
</cp:coreProperties>
</file>